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2171D72E" w:rsidR="00801949" w:rsidRPr="003B058B" w:rsidRDefault="00CF48D1" w:rsidP="05E66D72">
            <w:pPr>
              <w:rPr>
                <w:rFonts w:ascii="Arial" w:eastAsia="Arial" w:hAnsi="Arial" w:cs="Arial"/>
                <w:lang w:val="en-US"/>
              </w:rPr>
            </w:pPr>
            <w:r w:rsidRPr="00CF48D1">
              <w:rPr>
                <w:rFonts w:ascii="Arial" w:eastAsia="Arial" w:hAnsi="Arial" w:cs="Arial"/>
                <w:lang w:val="en-US"/>
              </w:rPr>
              <w:t>H</w:t>
            </w:r>
            <w:r>
              <w:rPr>
                <w:rFonts w:ascii="Arial" w:eastAsia="Arial" w:hAnsi="Arial" w:cs="Arial"/>
                <w:lang w:val="en-US"/>
              </w:rPr>
              <w:t>ead of Regeneration Delivery</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7687C43E" w:rsidR="00801949" w:rsidRPr="003B058B" w:rsidRDefault="00CF48D1" w:rsidP="05E66D72">
            <w:pPr>
              <w:rPr>
                <w:rFonts w:ascii="Arial" w:eastAsia="Arial" w:hAnsi="Arial" w:cs="Arial"/>
                <w:lang w:val="en-US"/>
              </w:rPr>
            </w:pPr>
            <w:r>
              <w:rPr>
                <w:rFonts w:ascii="Arial" w:eastAsia="Arial" w:hAnsi="Arial" w:cs="Arial"/>
                <w:lang w:val="en-US"/>
              </w:rPr>
              <w:t>EPO25</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0DAA34C0" w:rsidR="007102FC" w:rsidRPr="003B058B" w:rsidRDefault="00CF48D1" w:rsidP="00001C6C">
            <w:pPr>
              <w:rPr>
                <w:rFonts w:ascii="Arial" w:eastAsia="Arial" w:hAnsi="Arial" w:cs="Arial"/>
                <w:lang w:val="en-US"/>
              </w:rPr>
            </w:pPr>
            <w:r>
              <w:rPr>
                <w:rFonts w:ascii="Arial" w:eastAsia="Arial" w:hAnsi="Arial" w:cs="Arial"/>
                <w:lang w:val="en-US"/>
              </w:rPr>
              <w:t xml:space="preserve">AD: Chief Regeneration Officer </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1EE5E76" w:rsidR="005D45B8" w:rsidRPr="003B058B" w:rsidRDefault="00CF48D1"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CSTRAT0048P</w:t>
            </w:r>
          </w:p>
        </w:tc>
      </w:tr>
    </w:tbl>
    <w:p w14:paraId="6F798499" w14:textId="57E90B58"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047C10BB" w:rsidR="000B5E57" w:rsidRDefault="00CF48D1" w:rsidP="00CF48D1">
      <w:pPr>
        <w:jc w:val="both"/>
        <w:rPr>
          <w:rFonts w:ascii="Lato" w:eastAsia="Arial" w:hAnsi="Lato" w:cs="Arial"/>
          <w:caps/>
          <w:color w:val="296EB6"/>
          <w:spacing w:val="30"/>
        </w:rPr>
      </w:pPr>
      <w:r w:rsidRPr="00CF48D1">
        <w:rPr>
          <w:rFonts w:ascii="Arial" w:eastAsia="Arial" w:hAnsi="Arial" w:cs="Arial"/>
          <w:color w:val="333333"/>
        </w:rPr>
        <w:t>Lead the design and delivery of major regeneration projects and programmes which deliver the Council’s ambitious place-making agenda to create a well-designed, green, sustainable, waterfront community along the Left Bank of the River Mersey.</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18C96625" w14:textId="07D87C45" w:rsidR="00CF48D1" w:rsidRPr="00CF48D1" w:rsidRDefault="00CF48D1" w:rsidP="00CF48D1">
      <w:pPr>
        <w:spacing w:after="0" w:line="276" w:lineRule="auto"/>
        <w:jc w:val="both"/>
        <w:rPr>
          <w:rFonts w:ascii="Arial" w:hAnsi="Arial" w:cs="Arial"/>
        </w:rPr>
      </w:pPr>
      <w:r w:rsidRPr="00CF48D1">
        <w:rPr>
          <w:rFonts w:ascii="Arial" w:hAnsi="Arial" w:cs="Arial"/>
        </w:rPr>
        <w:t xml:space="preserve">Work collaboratively with colleagues, partners, developers, stakeholders and funders to design regeneration projects and programmes which will realise the ambition set out in the Council’s regeneration framework and masterplans, aligned to the Local Plan. </w:t>
      </w:r>
    </w:p>
    <w:p w14:paraId="01605863" w14:textId="77777777" w:rsidR="00CF48D1" w:rsidRPr="00CF48D1" w:rsidRDefault="00CF48D1" w:rsidP="00CF48D1">
      <w:pPr>
        <w:spacing w:after="0" w:line="276" w:lineRule="auto"/>
        <w:jc w:val="both"/>
        <w:rPr>
          <w:rFonts w:ascii="Arial" w:hAnsi="Arial" w:cs="Arial"/>
        </w:rPr>
      </w:pPr>
      <w:r w:rsidRPr="00CF48D1">
        <w:rPr>
          <w:rFonts w:ascii="Arial" w:hAnsi="Arial" w:cs="Arial"/>
        </w:rPr>
        <w:t xml:space="preserve"> </w:t>
      </w:r>
    </w:p>
    <w:p w14:paraId="682B7141" w14:textId="5D8D4F29" w:rsidR="00CF48D1" w:rsidRPr="00CF48D1" w:rsidRDefault="00CF48D1" w:rsidP="00CF48D1">
      <w:pPr>
        <w:spacing w:after="0" w:line="276" w:lineRule="auto"/>
        <w:jc w:val="both"/>
        <w:rPr>
          <w:rFonts w:ascii="Arial" w:hAnsi="Arial" w:cs="Arial"/>
        </w:rPr>
      </w:pPr>
      <w:r w:rsidRPr="00CF48D1">
        <w:rPr>
          <w:rFonts w:ascii="Arial" w:hAnsi="Arial" w:cs="Arial"/>
        </w:rPr>
        <w:t xml:space="preserve">As a senior leader within the Regeneration and Place Directorate actively identify new opportunities for collaborative working, project ideas and funding opportunities which ensure the regeneration programme responds to economic, social and political changes. </w:t>
      </w:r>
    </w:p>
    <w:p w14:paraId="65A4B9A8" w14:textId="77777777" w:rsidR="00CF48D1" w:rsidRPr="00CF48D1" w:rsidRDefault="00CF48D1" w:rsidP="00CF48D1">
      <w:pPr>
        <w:spacing w:after="0" w:line="276" w:lineRule="auto"/>
        <w:jc w:val="both"/>
        <w:rPr>
          <w:rFonts w:ascii="Arial" w:hAnsi="Arial" w:cs="Arial"/>
        </w:rPr>
      </w:pPr>
      <w:r w:rsidRPr="00CF48D1">
        <w:rPr>
          <w:rFonts w:ascii="Arial" w:hAnsi="Arial" w:cs="Arial"/>
        </w:rPr>
        <w:t xml:space="preserve"> </w:t>
      </w:r>
    </w:p>
    <w:p w14:paraId="7B734EAD" w14:textId="7BB8A314" w:rsidR="00CF48D1" w:rsidRPr="00CF48D1" w:rsidRDefault="00CF48D1" w:rsidP="00CF48D1">
      <w:pPr>
        <w:spacing w:after="0" w:line="276" w:lineRule="auto"/>
        <w:jc w:val="both"/>
        <w:rPr>
          <w:rFonts w:ascii="Arial" w:hAnsi="Arial" w:cs="Arial"/>
        </w:rPr>
      </w:pPr>
      <w:r w:rsidRPr="00CF48D1">
        <w:rPr>
          <w:rFonts w:ascii="Arial" w:hAnsi="Arial" w:cs="Arial"/>
        </w:rPr>
        <w:t xml:space="preserve">Lead the delivery of regeneration projects and programmes to ensure they achieve their objectives and are delivered on time and to budget, creating political and industry confidence in Wirral Council as a regeneration enabler who delivers on its ambitions for design excellence, sustainable development and addressing climate change. </w:t>
      </w:r>
    </w:p>
    <w:p w14:paraId="119E2B3A" w14:textId="77777777" w:rsidR="00CF48D1" w:rsidRPr="00CF48D1" w:rsidRDefault="00CF48D1" w:rsidP="00CF48D1">
      <w:pPr>
        <w:spacing w:after="0" w:line="276" w:lineRule="auto"/>
        <w:jc w:val="both"/>
        <w:rPr>
          <w:rFonts w:ascii="Arial" w:hAnsi="Arial" w:cs="Arial"/>
        </w:rPr>
      </w:pPr>
      <w:r w:rsidRPr="00CF48D1">
        <w:rPr>
          <w:rFonts w:ascii="Arial" w:hAnsi="Arial" w:cs="Arial"/>
        </w:rPr>
        <w:t xml:space="preserve"> </w:t>
      </w:r>
    </w:p>
    <w:p w14:paraId="59A3C4A4" w14:textId="5DD8B0CA" w:rsidR="000C3804" w:rsidRDefault="00CF48D1" w:rsidP="00CF48D1">
      <w:pPr>
        <w:spacing w:after="0" w:line="276" w:lineRule="auto"/>
        <w:jc w:val="both"/>
        <w:rPr>
          <w:rFonts w:ascii="Arial" w:hAnsi="Arial" w:cs="Arial"/>
        </w:rPr>
      </w:pPr>
      <w:r w:rsidRPr="00CF48D1">
        <w:rPr>
          <w:rFonts w:ascii="Arial" w:hAnsi="Arial" w:cs="Arial"/>
        </w:rPr>
        <w:t>Ensure that regeneration projects and programmes have key success factors in place, namely robust business cases, resourcing plans, good governance, risk and issue management, and provide assurance that these remain effective throughout project lifecycles.</w:t>
      </w:r>
    </w:p>
    <w:p w14:paraId="75C1F73D" w14:textId="77777777" w:rsidR="00C11CF3" w:rsidRDefault="00C11CF3" w:rsidP="00CF48D1">
      <w:pPr>
        <w:spacing w:after="0" w:line="276" w:lineRule="auto"/>
        <w:jc w:val="both"/>
        <w:rPr>
          <w:rFonts w:ascii="Arial" w:hAnsi="Arial" w:cs="Arial"/>
        </w:rPr>
      </w:pPr>
    </w:p>
    <w:p w14:paraId="3C0E40FE" w14:textId="2D2C6438" w:rsidR="00CF48D1" w:rsidRPr="00CF48D1" w:rsidRDefault="00CF48D1" w:rsidP="00CF48D1">
      <w:pPr>
        <w:spacing w:after="0" w:line="276" w:lineRule="auto"/>
        <w:jc w:val="both"/>
        <w:rPr>
          <w:rFonts w:ascii="Arial" w:hAnsi="Arial" w:cs="Arial"/>
        </w:rPr>
      </w:pPr>
      <w:r w:rsidRPr="00CF48D1">
        <w:rPr>
          <w:rFonts w:ascii="Arial" w:hAnsi="Arial" w:cs="Arial"/>
        </w:rPr>
        <w:t xml:space="preserve">Establish and lead project and programme teams, including through matrix management with other Council teams and external partners, ensuring teams have the right technical skills, training and development to deliver high quality projects and programmes. </w:t>
      </w:r>
    </w:p>
    <w:p w14:paraId="09E01822" w14:textId="77777777" w:rsidR="00CF48D1" w:rsidRPr="00CF48D1" w:rsidRDefault="00CF48D1" w:rsidP="00CF48D1">
      <w:pPr>
        <w:spacing w:after="0" w:line="276" w:lineRule="auto"/>
        <w:jc w:val="both"/>
        <w:rPr>
          <w:rFonts w:ascii="Arial" w:hAnsi="Arial" w:cs="Arial"/>
        </w:rPr>
      </w:pPr>
      <w:r w:rsidRPr="00CF48D1">
        <w:rPr>
          <w:rFonts w:ascii="Arial" w:hAnsi="Arial" w:cs="Arial"/>
        </w:rPr>
        <w:t xml:space="preserve"> </w:t>
      </w:r>
    </w:p>
    <w:p w14:paraId="1DF46050" w14:textId="77777777" w:rsidR="00CF48D1" w:rsidRDefault="00CF48D1" w:rsidP="00CF48D1">
      <w:pPr>
        <w:spacing w:after="0" w:line="276" w:lineRule="auto"/>
        <w:jc w:val="both"/>
        <w:rPr>
          <w:rFonts w:ascii="Arial" w:hAnsi="Arial" w:cs="Arial"/>
        </w:rPr>
      </w:pPr>
      <w:r w:rsidRPr="00CF48D1">
        <w:rPr>
          <w:rFonts w:ascii="Arial" w:hAnsi="Arial" w:cs="Arial"/>
        </w:rPr>
        <w:t xml:space="preserve">Work collaboratively with communication teams to develop inspiring communication and engagement plans for regeneration activity, contributing to the wider growth and regeneration narrative, connecting local communities to the delivery programme, and growing the area’s reputation for ambition and delivery. </w:t>
      </w:r>
    </w:p>
    <w:p w14:paraId="22D08594" w14:textId="25CF54C9" w:rsidR="00CF48D1" w:rsidRPr="00CF48D1" w:rsidRDefault="00CF48D1" w:rsidP="00CF48D1">
      <w:pPr>
        <w:spacing w:after="0" w:line="276" w:lineRule="auto"/>
        <w:jc w:val="both"/>
        <w:rPr>
          <w:rFonts w:ascii="Arial" w:hAnsi="Arial" w:cs="Arial"/>
        </w:rPr>
      </w:pPr>
      <w:r w:rsidRPr="00CF48D1">
        <w:rPr>
          <w:rFonts w:ascii="Arial" w:hAnsi="Arial" w:cs="Arial"/>
        </w:rPr>
        <w:lastRenderedPageBreak/>
        <w:t xml:space="preserve">Manage project and programme budgets from outline business case through to securing funding, monitoring and evaluation, ensuring that information on forecasts and spend is accurate and is reported clearly through governance structures, and that issues are identified and resolved quickly. </w:t>
      </w:r>
    </w:p>
    <w:p w14:paraId="34A152B0" w14:textId="77777777" w:rsidR="00CF48D1" w:rsidRPr="00CF48D1" w:rsidRDefault="00CF48D1" w:rsidP="00CF48D1">
      <w:pPr>
        <w:spacing w:after="0" w:line="276" w:lineRule="auto"/>
        <w:jc w:val="both"/>
        <w:rPr>
          <w:rFonts w:ascii="Arial" w:hAnsi="Arial" w:cs="Arial"/>
        </w:rPr>
      </w:pPr>
      <w:r w:rsidRPr="00CF48D1">
        <w:rPr>
          <w:rFonts w:ascii="Arial" w:hAnsi="Arial" w:cs="Arial"/>
        </w:rPr>
        <w:t xml:space="preserve"> </w:t>
      </w:r>
    </w:p>
    <w:p w14:paraId="2BEDEE33" w14:textId="30516944" w:rsidR="00CF48D1" w:rsidRPr="00CF48D1" w:rsidRDefault="00CF48D1" w:rsidP="00CF48D1">
      <w:pPr>
        <w:spacing w:after="0" w:line="276" w:lineRule="auto"/>
        <w:jc w:val="both"/>
        <w:rPr>
          <w:rFonts w:ascii="Arial" w:hAnsi="Arial" w:cs="Arial"/>
        </w:rPr>
      </w:pPr>
      <w:r w:rsidRPr="00CF48D1">
        <w:rPr>
          <w:rFonts w:ascii="Arial" w:hAnsi="Arial" w:cs="Arial"/>
        </w:rPr>
        <w:t xml:space="preserve">Establish and foster effective working relationships with Elected Members in designing and delivering regeneration projects and programmes ensuring their objectives and delivery strategies are collectively understood, connecting parties as appropriate. </w:t>
      </w:r>
    </w:p>
    <w:p w14:paraId="61D7E035" w14:textId="77777777" w:rsidR="00CF48D1" w:rsidRPr="00CF48D1" w:rsidRDefault="00CF48D1" w:rsidP="00CF48D1">
      <w:pPr>
        <w:spacing w:after="0" w:line="276" w:lineRule="auto"/>
        <w:jc w:val="both"/>
        <w:rPr>
          <w:rFonts w:ascii="Arial" w:hAnsi="Arial" w:cs="Arial"/>
        </w:rPr>
      </w:pPr>
      <w:r w:rsidRPr="00CF48D1">
        <w:rPr>
          <w:rFonts w:ascii="Arial" w:hAnsi="Arial" w:cs="Arial"/>
        </w:rPr>
        <w:t xml:space="preserve"> </w:t>
      </w:r>
    </w:p>
    <w:p w14:paraId="045895C5" w14:textId="3F4A3AB8" w:rsidR="00CF48D1" w:rsidRDefault="00CF48D1" w:rsidP="00CF48D1">
      <w:pPr>
        <w:spacing w:after="0" w:line="276" w:lineRule="auto"/>
        <w:jc w:val="both"/>
        <w:rPr>
          <w:rFonts w:ascii="Arial" w:hAnsi="Arial" w:cs="Arial"/>
        </w:rPr>
      </w:pPr>
      <w:r w:rsidRPr="00CF48D1">
        <w:rPr>
          <w:rFonts w:ascii="Arial" w:hAnsi="Arial" w:cs="Arial"/>
        </w:rPr>
        <w:t>Ensure regeneration activity is monitored, reported and evaluated, including to external delivery partners and funders, so that progress is promoted, and learning is used to shape future delivery.</w:t>
      </w:r>
    </w:p>
    <w:p w14:paraId="5BB634FF" w14:textId="77777777" w:rsidR="00CF48D1" w:rsidRPr="000C3804" w:rsidRDefault="00CF48D1" w:rsidP="00CF48D1">
      <w:pPr>
        <w:spacing w:after="0" w:line="276" w:lineRule="auto"/>
        <w:jc w:val="both"/>
        <w:rPr>
          <w:rFonts w:ascii="Arial" w:hAnsi="Arial" w:cs="Arial"/>
        </w:rPr>
      </w:pPr>
    </w:p>
    <w:p w14:paraId="0719FD4F" w14:textId="7178CB08"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A4099D6" w14:textId="508DB2E8" w:rsidR="00AE2E99" w:rsidRPr="00243244" w:rsidRDefault="00243244" w:rsidP="00243244">
      <w:pPr>
        <w:pStyle w:val="ListParagraph"/>
        <w:numPr>
          <w:ilvl w:val="0"/>
          <w:numId w:val="7"/>
        </w:numPr>
        <w:rPr>
          <w:rFonts w:ascii="Arial" w:eastAsia="Arial" w:hAnsi="Arial" w:cs="Arial"/>
        </w:rPr>
      </w:pPr>
      <w:r w:rsidRPr="00243244">
        <w:rPr>
          <w:rFonts w:ascii="Arial" w:eastAsia="Arial" w:hAnsi="Arial" w:cs="Arial"/>
        </w:rPr>
        <w:t xml:space="preserve">Educated to degree level or equivalent experience in a regeneration discipline such as development management, town planning, urban design, or chartered surveying. </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C57FC82" w14:textId="77777777" w:rsidR="00243244" w:rsidRPr="00243244" w:rsidRDefault="00243244" w:rsidP="00243244">
      <w:pPr>
        <w:pStyle w:val="ListParagraph"/>
        <w:numPr>
          <w:ilvl w:val="0"/>
          <w:numId w:val="7"/>
        </w:numPr>
        <w:rPr>
          <w:rFonts w:ascii="Arial" w:eastAsia="Arial" w:hAnsi="Arial" w:cs="Arial"/>
          <w:color w:val="333333"/>
        </w:rPr>
      </w:pPr>
      <w:r w:rsidRPr="00243244">
        <w:rPr>
          <w:rFonts w:ascii="Arial" w:eastAsia="Arial" w:hAnsi="Arial" w:cs="Arial"/>
          <w:color w:val="333333"/>
        </w:rPr>
        <w:t xml:space="preserve">Demonstrable technical understanding of capital project delivery from inception through to the evaluation, based on recent experience of delivering ambitious projects with high quality design. </w:t>
      </w:r>
    </w:p>
    <w:p w14:paraId="09904722" w14:textId="407332F4" w:rsidR="00243244" w:rsidRPr="00C11CF3" w:rsidRDefault="00243244" w:rsidP="00C11CF3">
      <w:pPr>
        <w:pStyle w:val="ListParagraph"/>
        <w:numPr>
          <w:ilvl w:val="0"/>
          <w:numId w:val="7"/>
        </w:numPr>
        <w:rPr>
          <w:rFonts w:ascii="Arial" w:eastAsia="Arial" w:hAnsi="Arial" w:cs="Arial"/>
          <w:color w:val="333333"/>
        </w:rPr>
      </w:pPr>
      <w:r w:rsidRPr="00243244">
        <w:rPr>
          <w:rFonts w:ascii="Arial" w:eastAsia="Arial" w:hAnsi="Arial" w:cs="Arial"/>
          <w:color w:val="333333"/>
        </w:rPr>
        <w:t xml:space="preserve">Demonstrable understanding of how to achieve high quality urban design for individual developments, the public realm and whole neighbourhoods and communities. </w:t>
      </w:r>
    </w:p>
    <w:p w14:paraId="29AECC92" w14:textId="77777777" w:rsidR="00C11CF3" w:rsidRDefault="00243244" w:rsidP="00243244">
      <w:pPr>
        <w:pStyle w:val="ListParagraph"/>
        <w:numPr>
          <w:ilvl w:val="0"/>
          <w:numId w:val="7"/>
        </w:numPr>
        <w:rPr>
          <w:rFonts w:ascii="Arial" w:eastAsia="Arial" w:hAnsi="Arial" w:cs="Arial"/>
          <w:color w:val="333333"/>
        </w:rPr>
      </w:pPr>
      <w:r w:rsidRPr="00243244">
        <w:rPr>
          <w:rFonts w:ascii="Arial" w:eastAsia="Arial" w:hAnsi="Arial" w:cs="Arial"/>
          <w:color w:val="333333"/>
        </w:rPr>
        <w:t xml:space="preserve">Knowledge and understanding of the role of place-shaping and area-based regeneration in addressing inequalities, and an ability to engage communities in regeneration projects and programmes. </w:t>
      </w:r>
    </w:p>
    <w:p w14:paraId="07627EEC" w14:textId="77777777" w:rsidR="00C11CF3" w:rsidRDefault="00C11CF3" w:rsidP="00C11CF3">
      <w:pPr>
        <w:pStyle w:val="ListParagraph"/>
        <w:numPr>
          <w:ilvl w:val="0"/>
          <w:numId w:val="7"/>
        </w:numPr>
        <w:rPr>
          <w:rFonts w:ascii="Arial" w:eastAsia="Arial" w:hAnsi="Arial" w:cs="Arial"/>
          <w:color w:val="333333"/>
        </w:rPr>
      </w:pPr>
      <w:r w:rsidRPr="00C11CF3">
        <w:rPr>
          <w:rFonts w:ascii="Arial" w:eastAsia="Arial" w:hAnsi="Arial" w:cs="Arial"/>
          <w:i/>
          <w:iCs/>
          <w:color w:val="4472C4" w:themeColor="accent1"/>
        </w:rPr>
        <w:t>Desirable - Creative with an innovative, fresh thinking approach, challenging the status quo and bringing ideas to address new and existing challenges</w:t>
      </w:r>
      <w:r w:rsidRPr="00C11CF3">
        <w:rPr>
          <w:rFonts w:ascii="Arial" w:eastAsia="Arial" w:hAnsi="Arial" w:cs="Arial"/>
          <w:color w:val="333333"/>
        </w:rPr>
        <w:t xml:space="preserve"> </w:t>
      </w:r>
    </w:p>
    <w:p w14:paraId="6795F1D9" w14:textId="7A7220D5" w:rsidR="00C11CF3" w:rsidRPr="00243244" w:rsidRDefault="00C11CF3" w:rsidP="00C11CF3">
      <w:pPr>
        <w:pStyle w:val="ListParagraph"/>
        <w:numPr>
          <w:ilvl w:val="0"/>
          <w:numId w:val="7"/>
        </w:numPr>
        <w:rPr>
          <w:rFonts w:ascii="Arial" w:eastAsia="Arial" w:hAnsi="Arial" w:cs="Arial"/>
          <w:color w:val="333333"/>
        </w:rPr>
      </w:pPr>
      <w:r w:rsidRPr="00C11CF3">
        <w:rPr>
          <w:rFonts w:ascii="Arial" w:eastAsia="Arial" w:hAnsi="Arial" w:cs="Arial"/>
          <w:i/>
          <w:iCs/>
          <w:color w:val="4472C4" w:themeColor="accent1"/>
        </w:rPr>
        <w:t>Strong collaborator with demonstrable ability to bring people together from across the organisation and senior partners, and to empower individuals and teams to deliver regeneration outcomes</w:t>
      </w:r>
      <w:r w:rsidRPr="00243244">
        <w:rPr>
          <w:rFonts w:ascii="Arial" w:eastAsia="Arial" w:hAnsi="Arial" w:cs="Arial"/>
          <w:color w:val="333333"/>
        </w:rPr>
        <w:t xml:space="preserve">.  </w:t>
      </w:r>
    </w:p>
    <w:p w14:paraId="6653A62A" w14:textId="7E6BFACE" w:rsidR="002A2F70" w:rsidRPr="00C11CF3" w:rsidRDefault="002A2F70" w:rsidP="00C11CF3">
      <w:pPr>
        <w:pStyle w:val="ListParagraph"/>
        <w:ind w:left="360"/>
        <w:rPr>
          <w:rFonts w:ascii="Arial" w:eastAsia="Arial" w:hAnsi="Arial" w:cs="Arial"/>
          <w:i/>
          <w:iCs/>
          <w:color w:val="4472C4" w:themeColor="accent1"/>
        </w:rPr>
      </w:pP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6BF9536" w14:textId="04383764" w:rsidR="009C6FFE" w:rsidRDefault="00243244" w:rsidP="00243244">
      <w:pPr>
        <w:pStyle w:val="ListParagraph"/>
        <w:numPr>
          <w:ilvl w:val="0"/>
          <w:numId w:val="10"/>
        </w:numPr>
        <w:rPr>
          <w:rFonts w:ascii="Arial" w:eastAsia="Arial" w:hAnsi="Arial" w:cs="Arial"/>
          <w:color w:val="333333"/>
        </w:rPr>
      </w:pPr>
      <w:r w:rsidRPr="00243244">
        <w:rPr>
          <w:rFonts w:ascii="Arial" w:eastAsia="Arial" w:hAnsi="Arial" w:cs="Arial"/>
          <w:color w:val="333333"/>
        </w:rPr>
        <w:t xml:space="preserve">Extensive experience of designing and delivering large-scale urban regeneration capital projects and programmes akin to the projects in Wirral. </w:t>
      </w:r>
    </w:p>
    <w:p w14:paraId="4E95A782" w14:textId="77777777" w:rsidR="00243244" w:rsidRPr="00243244" w:rsidRDefault="00243244" w:rsidP="00243244">
      <w:pPr>
        <w:pStyle w:val="ListParagraph"/>
        <w:numPr>
          <w:ilvl w:val="0"/>
          <w:numId w:val="10"/>
        </w:numPr>
        <w:rPr>
          <w:rFonts w:ascii="Arial" w:eastAsia="Arial" w:hAnsi="Arial" w:cs="Arial"/>
          <w:color w:val="333333"/>
        </w:rPr>
      </w:pPr>
      <w:r w:rsidRPr="00243244">
        <w:rPr>
          <w:rFonts w:ascii="Arial" w:eastAsia="Arial" w:hAnsi="Arial" w:cs="Arial"/>
          <w:color w:val="333333"/>
        </w:rPr>
        <w:t xml:space="preserve">Experience of creating financing strategies to deliver regeneration projects, and an understanding of the current regeneration funding landscape for local government. </w:t>
      </w:r>
    </w:p>
    <w:p w14:paraId="5E480D7A" w14:textId="77777777" w:rsidR="00243244" w:rsidRPr="00243244" w:rsidRDefault="00243244" w:rsidP="00243244">
      <w:pPr>
        <w:pStyle w:val="ListParagraph"/>
        <w:numPr>
          <w:ilvl w:val="0"/>
          <w:numId w:val="10"/>
        </w:numPr>
        <w:rPr>
          <w:rFonts w:ascii="Arial" w:eastAsia="Arial" w:hAnsi="Arial" w:cs="Arial"/>
          <w:color w:val="333333"/>
        </w:rPr>
      </w:pPr>
      <w:r w:rsidRPr="00243244">
        <w:rPr>
          <w:rFonts w:ascii="Arial" w:eastAsia="Arial" w:hAnsi="Arial" w:cs="Arial"/>
          <w:color w:val="333333"/>
        </w:rPr>
        <w:t xml:space="preserve">Experience of establishing regeneration project teams incorporating a range of technical expertise such as legal, finance, asset management, surveying, urban design and construction. </w:t>
      </w:r>
    </w:p>
    <w:p w14:paraId="3DF4C418" w14:textId="33D0B30B" w:rsidR="000C3804" w:rsidRPr="00243244" w:rsidRDefault="00243244" w:rsidP="00243244">
      <w:pPr>
        <w:pStyle w:val="ListParagraph"/>
        <w:numPr>
          <w:ilvl w:val="0"/>
          <w:numId w:val="10"/>
        </w:numPr>
        <w:rPr>
          <w:rFonts w:ascii="Arial" w:eastAsia="Arial" w:hAnsi="Arial" w:cs="Arial"/>
          <w:color w:val="333333"/>
        </w:rPr>
      </w:pPr>
      <w:r w:rsidRPr="00243244">
        <w:rPr>
          <w:rFonts w:ascii="Arial" w:eastAsia="Arial" w:hAnsi="Arial" w:cs="Arial"/>
          <w:color w:val="333333"/>
        </w:rPr>
        <w:t xml:space="preserve">Experience of designing and delivering capital projects which achieve ambitious low carbon or carbon neutral objectives, as well as wider benefits for addressing climate change. </w:t>
      </w:r>
    </w:p>
    <w:p w14:paraId="6C0E8F35" w14:textId="77777777" w:rsidR="00C11CF3" w:rsidRPr="00C11CF3" w:rsidRDefault="00C11CF3" w:rsidP="00C11CF3">
      <w:pPr>
        <w:pStyle w:val="ListParagraph"/>
        <w:numPr>
          <w:ilvl w:val="0"/>
          <w:numId w:val="10"/>
        </w:numPr>
        <w:rPr>
          <w:rFonts w:ascii="Arial" w:eastAsia="Arial" w:hAnsi="Arial" w:cs="Arial"/>
          <w:i/>
          <w:iCs/>
          <w:color w:val="4472C4" w:themeColor="accent1"/>
        </w:rPr>
      </w:pPr>
      <w:r w:rsidRPr="00C11CF3">
        <w:rPr>
          <w:rFonts w:ascii="Arial" w:eastAsia="Arial" w:hAnsi="Arial" w:cs="Arial"/>
          <w:i/>
          <w:iCs/>
          <w:color w:val="4472C4" w:themeColor="accent1"/>
        </w:rPr>
        <w:lastRenderedPageBreak/>
        <w:t>Desirable - Experience of leading regeneration projects or programmes within Local Government</w:t>
      </w:r>
    </w:p>
    <w:p w14:paraId="3CCF5B95" w14:textId="720B539F" w:rsidR="00C11CF3" w:rsidRPr="00C11CF3" w:rsidRDefault="00C11CF3" w:rsidP="00C11CF3">
      <w:pPr>
        <w:pStyle w:val="ListParagraph"/>
        <w:numPr>
          <w:ilvl w:val="0"/>
          <w:numId w:val="10"/>
        </w:numPr>
        <w:rPr>
          <w:rFonts w:ascii="Arial" w:eastAsia="Arial" w:hAnsi="Arial" w:cs="Arial"/>
          <w:i/>
          <w:iCs/>
          <w:color w:val="4472C4" w:themeColor="accent1"/>
        </w:rPr>
      </w:pPr>
      <w:r w:rsidRPr="00C11CF3">
        <w:rPr>
          <w:rFonts w:ascii="Arial" w:eastAsia="Arial" w:hAnsi="Arial" w:cs="Arial"/>
          <w:i/>
          <w:iCs/>
          <w:color w:val="4472C4" w:themeColor="accent1"/>
        </w:rPr>
        <w:t xml:space="preserve">Politically astute with experience of working within a political environment. </w:t>
      </w:r>
    </w:p>
    <w:p w14:paraId="2239CA87" w14:textId="77777777" w:rsidR="00C11CF3" w:rsidRPr="00C11CF3" w:rsidRDefault="00C11CF3" w:rsidP="00C11CF3">
      <w:pPr>
        <w:pStyle w:val="ListParagraph"/>
        <w:numPr>
          <w:ilvl w:val="0"/>
          <w:numId w:val="10"/>
        </w:numPr>
        <w:rPr>
          <w:rFonts w:ascii="Arial" w:eastAsia="Arial" w:hAnsi="Arial" w:cs="Arial"/>
          <w:i/>
          <w:iCs/>
          <w:color w:val="4472C4" w:themeColor="accent1"/>
        </w:rPr>
      </w:pPr>
      <w:r w:rsidRPr="00C11CF3">
        <w:rPr>
          <w:rFonts w:ascii="Arial" w:eastAsia="Arial" w:hAnsi="Arial" w:cs="Arial"/>
          <w:i/>
          <w:iCs/>
          <w:color w:val="4472C4" w:themeColor="accent1"/>
        </w:rPr>
        <w:t xml:space="preserve">Experience of working with city-region bodies </w:t>
      </w:r>
    </w:p>
    <w:p w14:paraId="4B2CCE03" w14:textId="79F92656" w:rsidR="00757B16" w:rsidRPr="00EF6B89" w:rsidRDefault="00757B16" w:rsidP="00C11CF3">
      <w:pPr>
        <w:pStyle w:val="ListParagraph"/>
        <w:ind w:left="360"/>
        <w:rPr>
          <w:rFonts w:ascii="Arial" w:hAnsi="Arial" w:cs="Arial"/>
        </w:rPr>
      </w:pPr>
    </w:p>
    <w:p w14:paraId="75A339F1" w14:textId="68717753"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487E5A94"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729A8A75"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243244" w:rsidRPr="00243244">
        <w:rPr>
          <w:rFonts w:ascii="Arial" w:eastAsia="Arial" w:hAnsi="Arial" w:cs="Arial"/>
          <w:caps w:val="0"/>
          <w:color w:val="4472C4" w:themeColor="accent1"/>
          <w:spacing w:val="30"/>
        </w:rPr>
        <w:t>REBECCAH LOWRY (CHIEF REGENERATION OFFICER)</w:t>
      </w:r>
    </w:p>
    <w:p w14:paraId="462C2EA2" w14:textId="6056D8B3"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243244">
        <w:rPr>
          <w:rFonts w:ascii="Arial" w:eastAsia="Arial" w:hAnsi="Arial" w:cs="Arial"/>
          <w:caps w:val="0"/>
          <w:color w:val="4472C4" w:themeColor="accent1"/>
          <w:spacing w:val="30"/>
        </w:rPr>
        <w:t>October 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600E9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1"/>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65A0"/>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3244"/>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6E6"/>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47992"/>
    <w:rsid w:val="004577FE"/>
    <w:rsid w:val="00457D9B"/>
    <w:rsid w:val="00473826"/>
    <w:rsid w:val="00476939"/>
    <w:rsid w:val="00487624"/>
    <w:rsid w:val="0049608C"/>
    <w:rsid w:val="004A148E"/>
    <w:rsid w:val="004A21A2"/>
    <w:rsid w:val="004A3C2E"/>
    <w:rsid w:val="004A6306"/>
    <w:rsid w:val="004B066B"/>
    <w:rsid w:val="004B4643"/>
    <w:rsid w:val="004C6373"/>
    <w:rsid w:val="004D5715"/>
    <w:rsid w:val="004E21C4"/>
    <w:rsid w:val="004F515E"/>
    <w:rsid w:val="00506D33"/>
    <w:rsid w:val="005075B0"/>
    <w:rsid w:val="005075C2"/>
    <w:rsid w:val="00513440"/>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18F6"/>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3152"/>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13CC3"/>
    <w:rsid w:val="00822613"/>
    <w:rsid w:val="008327FD"/>
    <w:rsid w:val="00836655"/>
    <w:rsid w:val="00837331"/>
    <w:rsid w:val="00843412"/>
    <w:rsid w:val="00843A56"/>
    <w:rsid w:val="00845AB9"/>
    <w:rsid w:val="008547CB"/>
    <w:rsid w:val="0086167C"/>
    <w:rsid w:val="00861B8F"/>
    <w:rsid w:val="008674AC"/>
    <w:rsid w:val="0087024E"/>
    <w:rsid w:val="008863CB"/>
    <w:rsid w:val="00890A2B"/>
    <w:rsid w:val="008952F6"/>
    <w:rsid w:val="008B6E5D"/>
    <w:rsid w:val="008C5326"/>
    <w:rsid w:val="008C650E"/>
    <w:rsid w:val="008D1A55"/>
    <w:rsid w:val="008F4D81"/>
    <w:rsid w:val="009016FA"/>
    <w:rsid w:val="009023DD"/>
    <w:rsid w:val="0090585B"/>
    <w:rsid w:val="0091211C"/>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967B0"/>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B1A3B"/>
    <w:rsid w:val="00AC06AD"/>
    <w:rsid w:val="00AD1993"/>
    <w:rsid w:val="00AD6EDB"/>
    <w:rsid w:val="00AE2E99"/>
    <w:rsid w:val="00AE68EB"/>
    <w:rsid w:val="00AF4B74"/>
    <w:rsid w:val="00B120E7"/>
    <w:rsid w:val="00B255FD"/>
    <w:rsid w:val="00B378C3"/>
    <w:rsid w:val="00B45921"/>
    <w:rsid w:val="00B527DF"/>
    <w:rsid w:val="00B52C4D"/>
    <w:rsid w:val="00B542C9"/>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D507C"/>
    <w:rsid w:val="00BE3304"/>
    <w:rsid w:val="00BF1B4D"/>
    <w:rsid w:val="00C06EE3"/>
    <w:rsid w:val="00C11CF3"/>
    <w:rsid w:val="00C1588F"/>
    <w:rsid w:val="00C4145E"/>
    <w:rsid w:val="00C61175"/>
    <w:rsid w:val="00C617C1"/>
    <w:rsid w:val="00C64DD6"/>
    <w:rsid w:val="00C70AA4"/>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CF48D1"/>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23158"/>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068F2"/>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2024-12-11T11:01:00Z</dcterms:created>
  <dcterms:modified xsi:type="dcterms:W3CDTF">2024-12-11T11:01:00Z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