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006F64DF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31349396" w14:textId="073D2152" w:rsidR="00372BB5" w:rsidRDefault="00F84CC7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5ED6">
              <w:rPr>
                <w:noProof/>
              </w:rPr>
              <w:t>Rating officer</w:t>
            </w:r>
          </w:p>
          <w:p w14:paraId="3A2B85FA" w14:textId="234BE1A5" w:rsidR="007C3222" w:rsidRPr="007C3222" w:rsidRDefault="00A57756" w:rsidP="007C3222">
            <w:r>
              <w:rPr>
                <w:b/>
                <w:bCs/>
                <w:sz w:val="24"/>
                <w:szCs w:val="24"/>
              </w:rPr>
              <w:t>SALARY</w:t>
            </w:r>
            <w:r w:rsidR="00FD3DF3">
              <w:rPr>
                <w:b/>
                <w:bCs/>
                <w:sz w:val="24"/>
                <w:szCs w:val="24"/>
              </w:rPr>
              <w:t xml:space="preserve"> GRADE</w:t>
            </w:r>
            <w:r w:rsidR="00700D4D">
              <w:rPr>
                <w:b/>
                <w:bCs/>
                <w:sz w:val="24"/>
                <w:szCs w:val="24"/>
              </w:rPr>
              <w:t>:</w:t>
            </w:r>
            <w:r w:rsidR="00FD3DF3">
              <w:rPr>
                <w:b/>
                <w:bCs/>
                <w:sz w:val="24"/>
                <w:szCs w:val="24"/>
              </w:rPr>
              <w:t xml:space="preserve"> </w:t>
            </w:r>
            <w:r w:rsidR="008B5ED6">
              <w:rPr>
                <w:b/>
                <w:bCs/>
                <w:sz w:val="24"/>
                <w:szCs w:val="24"/>
              </w:rPr>
              <w:t>HBC5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Continuous Improvement – Keeping great service delivery at the heart of everything we do</w:t>
            </w:r>
          </w:p>
          <w:p w14:paraId="10C828CD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Learning,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5C8D792B" w14:textId="311C361B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Flexible / hybrid working arrangements available </w:t>
            </w:r>
          </w:p>
          <w:p w14:paraId="1E8A76B8" w14:textId="77777777" w:rsidR="00AF536B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624048CE" w14:textId="3AEAE33B" w:rsidR="003329C7" w:rsidRDefault="008B5ED6" w:rsidP="003329C7">
            <w:pPr>
              <w:spacing w:line="276" w:lineRule="auto"/>
            </w:pPr>
            <w:r>
              <w:t>This role involves undertaking work concerning the billing, collection and recovery of Business Rates due to the Council.</w:t>
            </w:r>
          </w:p>
          <w:p w14:paraId="3F10ECF2" w14:textId="77777777" w:rsidR="007807FB" w:rsidRDefault="007807FB" w:rsidP="003329C7">
            <w:pPr>
              <w:spacing w:line="276" w:lineRule="auto"/>
            </w:pPr>
          </w:p>
          <w:p w14:paraId="5BD79E2A" w14:textId="1B7A331F" w:rsidR="007807FB" w:rsidRDefault="007807FB" w:rsidP="003329C7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31D62768" w14:textId="5D218F96" w:rsidR="006F64DF" w:rsidRDefault="008B5ED6" w:rsidP="00181676">
            <w:pPr>
              <w:numPr>
                <w:ilvl w:val="0"/>
                <w:numId w:val="9"/>
              </w:numPr>
              <w:spacing w:line="276" w:lineRule="auto"/>
            </w:pPr>
            <w:r w:rsidRPr="008B5ED6">
              <w:t>Process</w:t>
            </w:r>
            <w:r>
              <w:t>ing</w:t>
            </w:r>
            <w:r w:rsidRPr="008B5ED6">
              <w:t xml:space="preserve"> amendments to the Revenues systems, including changes in liability. Assess</w:t>
            </w:r>
            <w:r>
              <w:t>ing</w:t>
            </w:r>
            <w:r w:rsidRPr="008B5ED6">
              <w:t xml:space="preserve"> and award</w:t>
            </w:r>
            <w:r>
              <w:t>ing</w:t>
            </w:r>
            <w:r w:rsidRPr="008B5ED6">
              <w:t xml:space="preserve"> rate reliefs and exemptions, in accordance with legislation and within agreed guidelines.</w:t>
            </w:r>
          </w:p>
          <w:p w14:paraId="3A858D8B" w14:textId="7E5C8357" w:rsidR="008B5ED6" w:rsidRDefault="008B5ED6" w:rsidP="008B5ED6">
            <w:pPr>
              <w:pStyle w:val="ListParagraph"/>
              <w:numPr>
                <w:ilvl w:val="0"/>
                <w:numId w:val="9"/>
              </w:numPr>
            </w:pPr>
            <w:r w:rsidRPr="008B5ED6">
              <w:t>Answer</w:t>
            </w:r>
            <w:r>
              <w:t>ing</w:t>
            </w:r>
            <w:r w:rsidRPr="008B5ED6">
              <w:t xml:space="preserve"> queries and resolv</w:t>
            </w:r>
            <w:r>
              <w:t>ing</w:t>
            </w:r>
            <w:r w:rsidRPr="008B5ED6">
              <w:t xml:space="preserve"> discrepancies regarding Business Rates liability, reliefs, exemptions, recovery and enforcement action, by telephone and in writing. Identify</w:t>
            </w:r>
            <w:r>
              <w:t>ing</w:t>
            </w:r>
            <w:r w:rsidRPr="008B5ED6">
              <w:t xml:space="preserve"> and report</w:t>
            </w:r>
            <w:r>
              <w:t>ing</w:t>
            </w:r>
            <w:r w:rsidRPr="008B5ED6">
              <w:t xml:space="preserve"> more complex cases to the Revenues Manager. </w:t>
            </w:r>
          </w:p>
          <w:p w14:paraId="26DA0AA6" w14:textId="0F4DC361" w:rsidR="008B5ED6" w:rsidRPr="008B5ED6" w:rsidRDefault="008B5ED6" w:rsidP="008B5ED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8B5ED6">
              <w:lastRenderedPageBreak/>
              <w:t>Mak</w:t>
            </w:r>
            <w:r>
              <w:t>ing</w:t>
            </w:r>
            <w:r w:rsidRPr="008B5ED6">
              <w:t xml:space="preserve"> and monitor</w:t>
            </w:r>
            <w:r>
              <w:t>ing</w:t>
            </w:r>
            <w:r w:rsidRPr="008B5ED6">
              <w:t xml:space="preserve"> arrangements, within agreed guidelines, for payment of arrears of business rates and determin</w:t>
            </w:r>
            <w:r>
              <w:t>ing</w:t>
            </w:r>
            <w:r w:rsidRPr="008B5ED6">
              <w:t xml:space="preserve"> any relevant action including enforcement action</w:t>
            </w:r>
            <w:r>
              <w:t xml:space="preserve"> and a</w:t>
            </w:r>
            <w:r w:rsidRPr="008B5ED6">
              <w:t>ssist</w:t>
            </w:r>
            <w:r w:rsidRPr="008B5ED6">
              <w:t>ing</w:t>
            </w:r>
            <w:r w:rsidRPr="008B5ED6">
              <w:t xml:space="preserve"> with the issue of Non Domestic Rates demands, reminders and summons.</w:t>
            </w:r>
          </w:p>
          <w:p w14:paraId="566E1ADB" w14:textId="190BA0A6" w:rsidR="008B5ED6" w:rsidRPr="008B5ED6" w:rsidRDefault="008B5ED6" w:rsidP="008B5ED6">
            <w:pPr>
              <w:pStyle w:val="ListParagraph"/>
              <w:numPr>
                <w:ilvl w:val="0"/>
                <w:numId w:val="9"/>
              </w:numPr>
            </w:pPr>
            <w:r>
              <w:t>Maintaining</w:t>
            </w:r>
            <w:r w:rsidRPr="008B5ED6">
              <w:t xml:space="preserve"> the Rating List and notify</w:t>
            </w:r>
            <w:r>
              <w:t>ing</w:t>
            </w:r>
            <w:r w:rsidRPr="008B5ED6">
              <w:t xml:space="preserve"> the Valuation Office Agency of all relevant changes and monitor</w:t>
            </w:r>
            <w:r>
              <w:t>ing</w:t>
            </w:r>
            <w:r w:rsidRPr="008B5ED6">
              <w:t xml:space="preserve"> progress</w:t>
            </w:r>
            <w:r>
              <w:t xml:space="preserve"> and preparing</w:t>
            </w:r>
            <w:r w:rsidRPr="008B5ED6">
              <w:t xml:space="preserve"> and refer</w:t>
            </w:r>
            <w:r>
              <w:t>ring</w:t>
            </w:r>
            <w:r w:rsidRPr="008B5ED6">
              <w:t xml:space="preserve"> cases to the Valuation Tribunal. </w:t>
            </w:r>
          </w:p>
          <w:p w14:paraId="2991D40D" w14:textId="70AF12D6" w:rsidR="009F766D" w:rsidRPr="009F766D" w:rsidRDefault="009F766D" w:rsidP="009F766D">
            <w:pPr>
              <w:pStyle w:val="ListParagraph"/>
              <w:numPr>
                <w:ilvl w:val="0"/>
                <w:numId w:val="9"/>
              </w:numPr>
            </w:pPr>
            <w:r w:rsidRPr="009F766D">
              <w:t>Prepar</w:t>
            </w:r>
            <w:r>
              <w:t>ing</w:t>
            </w:r>
            <w:r w:rsidRPr="009F766D">
              <w:t xml:space="preserve"> cases for Magistrates Court and attend</w:t>
            </w:r>
            <w:r>
              <w:t>ing</w:t>
            </w:r>
            <w:r w:rsidRPr="009F766D">
              <w:t xml:space="preserve"> court in order to make arrangements, within agreed guidelines, for payment of arrears of business rates</w:t>
            </w:r>
            <w:r>
              <w:t xml:space="preserve"> and liaising with other council departments and external agencies</w:t>
            </w:r>
          </w:p>
          <w:p w14:paraId="53737D9F" w14:textId="620D826C" w:rsidR="009F766D" w:rsidRPr="009F766D" w:rsidRDefault="009F766D" w:rsidP="009F766D">
            <w:pPr>
              <w:pStyle w:val="ListParagraph"/>
              <w:numPr>
                <w:ilvl w:val="0"/>
                <w:numId w:val="9"/>
              </w:numPr>
            </w:pPr>
            <w:r>
              <w:t>Identifying,</w:t>
            </w:r>
            <w:r w:rsidRPr="009F766D">
              <w:t xml:space="preserve"> prepar</w:t>
            </w:r>
            <w:r>
              <w:t>ing</w:t>
            </w:r>
            <w:r w:rsidRPr="009F766D">
              <w:t xml:space="preserve">, check and </w:t>
            </w:r>
            <w:proofErr w:type="spellStart"/>
            <w:r w:rsidRPr="009F766D">
              <w:t>authoris</w:t>
            </w:r>
            <w:r>
              <w:t>ing</w:t>
            </w:r>
            <w:proofErr w:type="spellEnd"/>
            <w:r w:rsidRPr="009F766D">
              <w:t xml:space="preserve"> within agreed guidelines, refunds of overpayment of business rates or refer</w:t>
            </w:r>
            <w:r w:rsidR="0029218E">
              <w:t>r</w:t>
            </w:r>
            <w:r>
              <w:t>ing</w:t>
            </w:r>
            <w:r w:rsidRPr="009F766D">
              <w:t xml:space="preserve"> for verification/certification and </w:t>
            </w:r>
            <w:r>
              <w:t>transferring</w:t>
            </w:r>
            <w:r w:rsidRPr="009F766D">
              <w:t xml:space="preserve"> or reallocat</w:t>
            </w:r>
            <w:r>
              <w:t>ing</w:t>
            </w:r>
            <w:r w:rsidRPr="009F766D">
              <w:t xml:space="preserve"> moneys between taxpayers accounts /funds.</w:t>
            </w:r>
          </w:p>
          <w:p w14:paraId="54FD144F" w14:textId="5BF229E5" w:rsidR="0029218E" w:rsidRPr="0029218E" w:rsidRDefault="0029218E" w:rsidP="0029218E">
            <w:pPr>
              <w:pStyle w:val="ListParagraph"/>
              <w:numPr>
                <w:ilvl w:val="0"/>
                <w:numId w:val="9"/>
              </w:numPr>
            </w:pPr>
            <w:r>
              <w:t>Checking</w:t>
            </w:r>
            <w:r w:rsidRPr="0029218E">
              <w:t xml:space="preserve"> and verify</w:t>
            </w:r>
            <w:r>
              <w:t>ing</w:t>
            </w:r>
            <w:r w:rsidRPr="0029218E">
              <w:t xml:space="preserve"> accounts where Direct Debits have been returned unpaid and tak</w:t>
            </w:r>
            <w:r w:rsidR="003E475D">
              <w:t>ing</w:t>
            </w:r>
            <w:r w:rsidRPr="0029218E">
              <w:t xml:space="preserve"> appropriate action.</w:t>
            </w:r>
          </w:p>
          <w:p w14:paraId="4B71E44C" w14:textId="6160B5DF" w:rsidR="008B5ED6" w:rsidRPr="008B5ED6" w:rsidRDefault="00E029DB" w:rsidP="008B5ED6">
            <w:pPr>
              <w:pStyle w:val="ListParagraph"/>
              <w:numPr>
                <w:ilvl w:val="0"/>
                <w:numId w:val="9"/>
              </w:numPr>
            </w:pPr>
            <w:r w:rsidRPr="00E029DB">
              <w:t>Administer</w:t>
            </w:r>
            <w:r>
              <w:t>ing</w:t>
            </w:r>
            <w:r w:rsidRPr="00E029DB">
              <w:t xml:space="preserve"> the day to day running of the Business Improvement District Service (BIDS). </w:t>
            </w:r>
            <w:r>
              <w:t>Engaging</w:t>
            </w:r>
            <w:r w:rsidRPr="00E029DB">
              <w:t xml:space="preserve"> and advis</w:t>
            </w:r>
            <w:r>
              <w:t>ing</w:t>
            </w:r>
            <w:r w:rsidRPr="00E029DB">
              <w:t xml:space="preserve"> Halton Chamber of Commerce with running of service, including billing, collection and recovery of amounts due.</w:t>
            </w:r>
          </w:p>
          <w:p w14:paraId="0DECDE01" w14:textId="2C556A26" w:rsidR="008B5ED6" w:rsidRPr="008B5ED6" w:rsidRDefault="001C7527" w:rsidP="008B5ED6">
            <w:pPr>
              <w:pStyle w:val="ListParagraph"/>
              <w:numPr>
                <w:ilvl w:val="0"/>
                <w:numId w:val="9"/>
              </w:numPr>
            </w:pPr>
            <w:r>
              <w:t>A</w:t>
            </w:r>
            <w:r w:rsidRPr="001C7527">
              <w:t>ssist</w:t>
            </w:r>
            <w:r>
              <w:t>ing</w:t>
            </w:r>
            <w:r w:rsidRPr="001C7527">
              <w:t xml:space="preserve"> and identify</w:t>
            </w:r>
            <w:r>
              <w:t>ing</w:t>
            </w:r>
            <w:r w:rsidRPr="001C7527">
              <w:t xml:space="preserve"> any necessary action regarding charging orders, bankruptcy, insolvency, administration orders and winding up of companies.  </w:t>
            </w:r>
          </w:p>
          <w:p w14:paraId="4EB79E01" w14:textId="57943754" w:rsidR="008B5ED6" w:rsidRDefault="006A13CA" w:rsidP="00181676">
            <w:pPr>
              <w:numPr>
                <w:ilvl w:val="0"/>
                <w:numId w:val="9"/>
              </w:numPr>
              <w:spacing w:line="276" w:lineRule="auto"/>
            </w:pPr>
            <w:r w:rsidRPr="006A13CA">
              <w:t>Identify</w:t>
            </w:r>
            <w:r>
              <w:t>ing</w:t>
            </w:r>
            <w:r w:rsidRPr="006A13CA">
              <w:t xml:space="preserve"> where additional ratepayer care and support may be required, and signpost</w:t>
            </w:r>
            <w:r>
              <w:t>ing</w:t>
            </w:r>
            <w:r w:rsidRPr="006A13CA">
              <w:t>/refer</w:t>
            </w:r>
            <w:r>
              <w:t xml:space="preserve">ring, </w:t>
            </w:r>
            <w:r w:rsidRPr="006A13CA">
              <w:t>accordingly to internal and external welfare support services.</w:t>
            </w:r>
          </w:p>
          <w:p w14:paraId="73820D43" w14:textId="01C26659" w:rsidR="006A13CA" w:rsidRPr="00023C42" w:rsidRDefault="00A32D36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R</w:t>
            </w:r>
            <w:r w:rsidR="00023C42" w:rsidRPr="00A32D36">
              <w:t>ecommend</w:t>
            </w:r>
            <w:r>
              <w:t>ing</w:t>
            </w:r>
            <w:r w:rsidR="00023C42" w:rsidRPr="00A32D36">
              <w:t xml:space="preserve"> appropriate cases for write-off and assist in preparing reports for </w:t>
            </w:r>
            <w:proofErr w:type="spellStart"/>
            <w:r w:rsidR="00023C42" w:rsidRPr="00A32D36">
              <w:t>authorisation</w:t>
            </w:r>
            <w:proofErr w:type="spellEnd"/>
            <w:r w:rsidR="00023C42" w:rsidRPr="00A32D36">
              <w:t>.</w:t>
            </w:r>
          </w:p>
          <w:p w14:paraId="5EFF83B2" w14:textId="059644F4" w:rsidR="00023C42" w:rsidRDefault="00A32D36" w:rsidP="00181676">
            <w:pPr>
              <w:numPr>
                <w:ilvl w:val="0"/>
                <w:numId w:val="9"/>
              </w:numPr>
              <w:spacing w:line="276" w:lineRule="auto"/>
            </w:pPr>
            <w:r w:rsidRPr="00A32D36">
              <w:t>Undertak</w:t>
            </w:r>
            <w:r w:rsidR="008754F8">
              <w:t>ing</w:t>
            </w:r>
            <w:r w:rsidRPr="00A32D36">
              <w:t xml:space="preserve"> any other duties and responsibilities as may be assigned from time to time, which are commensurate with the grade of the job.</w:t>
            </w:r>
          </w:p>
          <w:p w14:paraId="57BBA876" w14:textId="6CF2A1D3" w:rsidR="003329C7" w:rsidRDefault="003329C7" w:rsidP="003329C7">
            <w:pPr>
              <w:spacing w:line="276" w:lineRule="auto"/>
            </w:pPr>
          </w:p>
        </w:tc>
      </w:tr>
      <w:tr w:rsidR="00365C93" w14:paraId="052D3F24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007D6326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1802D5B6" w14:textId="457053F5" w:rsidR="00FC520D" w:rsidRDefault="00FC520D" w:rsidP="00FC520D">
            <w:pPr>
              <w:rPr>
                <w:rFonts w:ascii="Arial" w:hAnsi="Arial" w:cs="Arial"/>
              </w:rPr>
            </w:pPr>
            <w:r>
              <w:t xml:space="preserve">You will have </w:t>
            </w:r>
            <w:r w:rsidR="002127BB">
              <w:t>a</w:t>
            </w:r>
            <w:r w:rsidRPr="002127BB">
              <w:t xml:space="preserve"> minimum 3 GCSE’s or equivalent at Grade C or above, </w:t>
            </w:r>
            <w:r w:rsidR="002127BB" w:rsidRPr="002127BB">
              <w:t>including</w:t>
            </w:r>
            <w:r w:rsidRPr="002127BB">
              <w:t xml:space="preserve"> </w:t>
            </w:r>
            <w:proofErr w:type="spellStart"/>
            <w:r w:rsidRPr="002127BB">
              <w:t>Maths</w:t>
            </w:r>
            <w:proofErr w:type="spellEnd"/>
            <w:r w:rsidRPr="002127BB">
              <w:t xml:space="preserve"> and English, or </w:t>
            </w:r>
            <w:r w:rsidR="002127BB" w:rsidRPr="002127BB">
              <w:t xml:space="preserve">able to </w:t>
            </w:r>
            <w:r w:rsidRPr="002127BB">
              <w:t>demonstrate the appropriate level of skills or experience.</w:t>
            </w:r>
          </w:p>
          <w:p w14:paraId="5B59C699" w14:textId="3FCD6109" w:rsidR="008A28B5" w:rsidRDefault="008A28B5" w:rsidP="00FE52AB">
            <w:pPr>
              <w:spacing w:line="276" w:lineRule="auto"/>
            </w:pPr>
          </w:p>
          <w:p w14:paraId="77B47622" w14:textId="0A90A0F2" w:rsidR="008A28B5" w:rsidRDefault="008A28B5" w:rsidP="00FE52AB">
            <w:pPr>
              <w:spacing w:line="276" w:lineRule="auto"/>
            </w:pPr>
            <w:r>
              <w:t xml:space="preserve">In addition </w:t>
            </w:r>
            <w:r w:rsidR="00213E7B">
              <w:t>you</w:t>
            </w:r>
            <w:r>
              <w:t xml:space="preserve"> will have:</w:t>
            </w:r>
          </w:p>
          <w:p w14:paraId="798624DE" w14:textId="77777777" w:rsidR="00C97E09" w:rsidRPr="00C97E09" w:rsidRDefault="00C97E09" w:rsidP="00C97E09">
            <w:pPr>
              <w:pStyle w:val="ListParagraph"/>
              <w:numPr>
                <w:ilvl w:val="0"/>
                <w:numId w:val="24"/>
              </w:numPr>
            </w:pPr>
            <w:r w:rsidRPr="00C97E09">
              <w:t>Contact with the public in a busy environment</w:t>
            </w:r>
          </w:p>
          <w:p w14:paraId="0150C1E9" w14:textId="0D767F6C" w:rsidR="008A28B5" w:rsidRDefault="009B3AF5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A</w:t>
            </w:r>
            <w:r w:rsidR="00B3092B" w:rsidRPr="009B3AF5">
              <w:t>n awareness of council revenues including business rates</w:t>
            </w:r>
            <w:r w:rsidR="00FC65D6">
              <w:t xml:space="preserve"> (and are able to demonstrate this)</w:t>
            </w:r>
            <w:r w:rsidR="00B3092B" w:rsidRPr="009B3AF5">
              <w:t xml:space="preserve"> and </w:t>
            </w:r>
            <w:r w:rsidR="00536395">
              <w:t>will have</w:t>
            </w:r>
            <w:r w:rsidR="00B3092B" w:rsidRPr="009B3AF5">
              <w:t xml:space="preserve"> researched the subject prior to interview</w:t>
            </w:r>
            <w:r w:rsidRPr="009B3AF5">
              <w:t xml:space="preserve"> </w:t>
            </w:r>
          </w:p>
          <w:p w14:paraId="338EBD83" w14:textId="77777777" w:rsidR="00BA5121" w:rsidRPr="00BA5121" w:rsidRDefault="00BA5121" w:rsidP="00BA5121">
            <w:pPr>
              <w:pStyle w:val="ListParagraph"/>
              <w:numPr>
                <w:ilvl w:val="0"/>
                <w:numId w:val="26"/>
              </w:numPr>
            </w:pPr>
            <w:r w:rsidRPr="00BA5121">
              <w:t>Knowledge of data protection and confidentiality.</w:t>
            </w:r>
          </w:p>
          <w:p w14:paraId="0FAB0A03" w14:textId="3AB912E6" w:rsidR="00FC65D6" w:rsidRDefault="003A5BA6" w:rsidP="00181676">
            <w:pPr>
              <w:numPr>
                <w:ilvl w:val="0"/>
                <w:numId w:val="9"/>
              </w:numPr>
              <w:spacing w:line="276" w:lineRule="auto"/>
            </w:pPr>
            <w:r w:rsidRPr="003A5BA6">
              <w:t xml:space="preserve">Excellent </w:t>
            </w:r>
            <w:proofErr w:type="spellStart"/>
            <w:r w:rsidRPr="003A5BA6">
              <w:t>organisational</w:t>
            </w:r>
            <w:proofErr w:type="spellEnd"/>
            <w:r w:rsidRPr="003A5BA6">
              <w:t xml:space="preserve"> skills and the ability to </w:t>
            </w:r>
            <w:proofErr w:type="spellStart"/>
            <w:r w:rsidRPr="003A5BA6">
              <w:t>prioritise</w:t>
            </w:r>
            <w:proofErr w:type="spellEnd"/>
            <w:r w:rsidRPr="003A5BA6">
              <w:t xml:space="preserve"> work to meet deadlines.</w:t>
            </w:r>
          </w:p>
          <w:p w14:paraId="4B1260DD" w14:textId="77777777" w:rsidR="009A7EEA" w:rsidRPr="009A7EEA" w:rsidRDefault="009A7EEA" w:rsidP="009A7EEA">
            <w:pPr>
              <w:pStyle w:val="ListParagraph"/>
              <w:numPr>
                <w:ilvl w:val="0"/>
                <w:numId w:val="9"/>
              </w:numPr>
            </w:pPr>
            <w:r w:rsidRPr="009A7EEA">
              <w:t>Ability and confidence to make appropriate decisions</w:t>
            </w:r>
          </w:p>
          <w:p w14:paraId="44EFDAFD" w14:textId="77777777" w:rsidR="001A0C3F" w:rsidRPr="001A0C3F" w:rsidRDefault="001A0C3F" w:rsidP="001A0C3F">
            <w:pPr>
              <w:pStyle w:val="ListParagraph"/>
              <w:numPr>
                <w:ilvl w:val="0"/>
                <w:numId w:val="9"/>
              </w:numPr>
            </w:pPr>
            <w:r w:rsidRPr="001A0C3F">
              <w:t>A high level of written and oral communication and interpersonal skills.</w:t>
            </w:r>
          </w:p>
          <w:p w14:paraId="6A481F76" w14:textId="2AEFEBA9" w:rsidR="003A5BA6" w:rsidRDefault="00570B3B" w:rsidP="00181676">
            <w:pPr>
              <w:numPr>
                <w:ilvl w:val="0"/>
                <w:numId w:val="9"/>
              </w:numPr>
              <w:spacing w:line="276" w:lineRule="auto"/>
            </w:pPr>
            <w:r w:rsidRPr="00570B3B">
              <w:t>IT Skills Using Microsoft Office Applications</w:t>
            </w:r>
          </w:p>
          <w:p w14:paraId="1BB5E6BF" w14:textId="6078A9A5" w:rsidR="00570B3B" w:rsidRDefault="00570B3B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Team </w:t>
            </w:r>
            <w:r w:rsidR="004C5842">
              <w:t>working skills</w:t>
            </w:r>
          </w:p>
          <w:p w14:paraId="1D043C7C" w14:textId="77777777" w:rsidR="00181676" w:rsidRDefault="00181676" w:rsidP="00181676">
            <w:pPr>
              <w:spacing w:line="276" w:lineRule="auto"/>
              <w:ind w:left="720"/>
            </w:pPr>
          </w:p>
          <w:p w14:paraId="74A2ABEF" w14:textId="77777777" w:rsidR="00EC745A" w:rsidRDefault="00EC745A" w:rsidP="00FE52A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00602898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0062364F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00464888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3E48F" w14:textId="77777777" w:rsidR="00E53393" w:rsidRDefault="00E53393" w:rsidP="00BC73FC">
      <w:r>
        <w:separator/>
      </w:r>
    </w:p>
  </w:endnote>
  <w:endnote w:type="continuationSeparator" w:id="0">
    <w:p w14:paraId="71609B64" w14:textId="77777777" w:rsidR="00E53393" w:rsidRDefault="00E53393" w:rsidP="00BC73FC">
      <w:r>
        <w:continuationSeparator/>
      </w:r>
    </w:p>
  </w:endnote>
  <w:endnote w:type="continuationNotice" w:id="1">
    <w:p w14:paraId="1655E518" w14:textId="77777777" w:rsidR="00E53393" w:rsidRDefault="00E533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06543" w14:textId="77777777" w:rsidR="00E53393" w:rsidRDefault="00E53393" w:rsidP="00BC73FC">
      <w:r>
        <w:separator/>
      </w:r>
    </w:p>
  </w:footnote>
  <w:footnote w:type="continuationSeparator" w:id="0">
    <w:p w14:paraId="231F3079" w14:textId="77777777" w:rsidR="00E53393" w:rsidRDefault="00E53393" w:rsidP="00BC73FC">
      <w:r>
        <w:continuationSeparator/>
      </w:r>
    </w:p>
  </w:footnote>
  <w:footnote w:type="continuationNotice" w:id="1">
    <w:p w14:paraId="779E4E29" w14:textId="77777777" w:rsidR="00E53393" w:rsidRDefault="00E533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FB015E"/>
    <w:multiLevelType w:val="hybridMultilevel"/>
    <w:tmpl w:val="2C8E8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6752B"/>
    <w:multiLevelType w:val="hybridMultilevel"/>
    <w:tmpl w:val="6F0CA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7D31995"/>
    <w:multiLevelType w:val="hybridMultilevel"/>
    <w:tmpl w:val="3DE87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4" w15:restartNumberingAfterBreak="0">
    <w:nsid w:val="7D1A2AEE"/>
    <w:multiLevelType w:val="hybridMultilevel"/>
    <w:tmpl w:val="5B543B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461851">
    <w:abstractNumId w:val="8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10"/>
  </w:num>
  <w:num w:numId="5" w16cid:durableId="984242123">
    <w:abstractNumId w:val="14"/>
  </w:num>
  <w:num w:numId="6" w16cid:durableId="854002118">
    <w:abstractNumId w:val="13"/>
  </w:num>
  <w:num w:numId="7" w16cid:durableId="9643203">
    <w:abstractNumId w:val="23"/>
  </w:num>
  <w:num w:numId="8" w16cid:durableId="2094618771">
    <w:abstractNumId w:val="17"/>
  </w:num>
  <w:num w:numId="9" w16cid:durableId="1866013986">
    <w:abstractNumId w:val="18"/>
  </w:num>
  <w:num w:numId="10" w16cid:durableId="948005912">
    <w:abstractNumId w:val="5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19"/>
  </w:num>
  <w:num w:numId="14" w16cid:durableId="1943221786">
    <w:abstractNumId w:val="15"/>
  </w:num>
  <w:num w:numId="15" w16cid:durableId="17393087">
    <w:abstractNumId w:val="11"/>
  </w:num>
  <w:num w:numId="16" w16cid:durableId="79496472">
    <w:abstractNumId w:val="4"/>
  </w:num>
  <w:num w:numId="17" w16cid:durableId="1190876401">
    <w:abstractNumId w:val="9"/>
  </w:num>
  <w:num w:numId="18" w16cid:durableId="1516726489">
    <w:abstractNumId w:val="21"/>
  </w:num>
  <w:num w:numId="19" w16cid:durableId="1519809597">
    <w:abstractNumId w:val="6"/>
  </w:num>
  <w:num w:numId="20" w16cid:durableId="1106654369">
    <w:abstractNumId w:val="7"/>
  </w:num>
  <w:num w:numId="21" w16cid:durableId="855311505">
    <w:abstractNumId w:val="16"/>
  </w:num>
  <w:num w:numId="22" w16cid:durableId="1128014861">
    <w:abstractNumId w:val="20"/>
  </w:num>
  <w:num w:numId="23" w16cid:durableId="444471535">
    <w:abstractNumId w:val="12"/>
  </w:num>
  <w:num w:numId="24" w16cid:durableId="139467616">
    <w:abstractNumId w:val="22"/>
  </w:num>
  <w:num w:numId="25" w16cid:durableId="1321277374">
    <w:abstractNumId w:val="24"/>
  </w:num>
  <w:num w:numId="26" w16cid:durableId="1110204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45F9"/>
    <w:rsid w:val="00023C42"/>
    <w:rsid w:val="000275E3"/>
    <w:rsid w:val="00060551"/>
    <w:rsid w:val="000761F2"/>
    <w:rsid w:val="0009529B"/>
    <w:rsid w:val="000E1C8B"/>
    <w:rsid w:val="0010498C"/>
    <w:rsid w:val="001360EF"/>
    <w:rsid w:val="00141C6D"/>
    <w:rsid w:val="0016524D"/>
    <w:rsid w:val="001806C6"/>
    <w:rsid w:val="00180710"/>
    <w:rsid w:val="00181676"/>
    <w:rsid w:val="001A0C3F"/>
    <w:rsid w:val="001C6CDA"/>
    <w:rsid w:val="001C7527"/>
    <w:rsid w:val="001D7755"/>
    <w:rsid w:val="001F46F6"/>
    <w:rsid w:val="002127BB"/>
    <w:rsid w:val="00213E7B"/>
    <w:rsid w:val="002141F8"/>
    <w:rsid w:val="00226843"/>
    <w:rsid w:val="0024328B"/>
    <w:rsid w:val="002466AB"/>
    <w:rsid w:val="00246D98"/>
    <w:rsid w:val="00281B02"/>
    <w:rsid w:val="0029218E"/>
    <w:rsid w:val="002A0AC2"/>
    <w:rsid w:val="002D755E"/>
    <w:rsid w:val="002F6FC8"/>
    <w:rsid w:val="0030456C"/>
    <w:rsid w:val="003329C7"/>
    <w:rsid w:val="003425D2"/>
    <w:rsid w:val="003551E1"/>
    <w:rsid w:val="00365C93"/>
    <w:rsid w:val="00372BB5"/>
    <w:rsid w:val="003955FE"/>
    <w:rsid w:val="00395C1F"/>
    <w:rsid w:val="003A0A86"/>
    <w:rsid w:val="003A5BA6"/>
    <w:rsid w:val="003C60F7"/>
    <w:rsid w:val="003D4D87"/>
    <w:rsid w:val="003E475D"/>
    <w:rsid w:val="004600FA"/>
    <w:rsid w:val="00464888"/>
    <w:rsid w:val="00480FAD"/>
    <w:rsid w:val="004A6BB1"/>
    <w:rsid w:val="004A796F"/>
    <w:rsid w:val="004C5842"/>
    <w:rsid w:val="004C6BAA"/>
    <w:rsid w:val="00515D95"/>
    <w:rsid w:val="00536395"/>
    <w:rsid w:val="00561A2C"/>
    <w:rsid w:val="00570B3B"/>
    <w:rsid w:val="00577543"/>
    <w:rsid w:val="005A4D05"/>
    <w:rsid w:val="005E0795"/>
    <w:rsid w:val="005E6612"/>
    <w:rsid w:val="005E760C"/>
    <w:rsid w:val="006126B9"/>
    <w:rsid w:val="00647C3A"/>
    <w:rsid w:val="00677A30"/>
    <w:rsid w:val="0068134D"/>
    <w:rsid w:val="00695CD1"/>
    <w:rsid w:val="006A13CA"/>
    <w:rsid w:val="006C0E64"/>
    <w:rsid w:val="006C4D8D"/>
    <w:rsid w:val="006C78E7"/>
    <w:rsid w:val="006D4B28"/>
    <w:rsid w:val="006D50C6"/>
    <w:rsid w:val="006F64DF"/>
    <w:rsid w:val="00700D4D"/>
    <w:rsid w:val="007079B0"/>
    <w:rsid w:val="00710C22"/>
    <w:rsid w:val="00713365"/>
    <w:rsid w:val="00724932"/>
    <w:rsid w:val="00763784"/>
    <w:rsid w:val="007807FB"/>
    <w:rsid w:val="00782C05"/>
    <w:rsid w:val="007840DF"/>
    <w:rsid w:val="00793DB6"/>
    <w:rsid w:val="007C27DD"/>
    <w:rsid w:val="007C3222"/>
    <w:rsid w:val="007F6D8B"/>
    <w:rsid w:val="007F737F"/>
    <w:rsid w:val="008122A4"/>
    <w:rsid w:val="00814BD7"/>
    <w:rsid w:val="00830561"/>
    <w:rsid w:val="008754F8"/>
    <w:rsid w:val="0089153F"/>
    <w:rsid w:val="008A28B5"/>
    <w:rsid w:val="008B5ED6"/>
    <w:rsid w:val="008C5BB7"/>
    <w:rsid w:val="008D29E5"/>
    <w:rsid w:val="008D57B9"/>
    <w:rsid w:val="008E169C"/>
    <w:rsid w:val="00902AB1"/>
    <w:rsid w:val="00917803"/>
    <w:rsid w:val="00924729"/>
    <w:rsid w:val="00966E71"/>
    <w:rsid w:val="00982CF7"/>
    <w:rsid w:val="0098361A"/>
    <w:rsid w:val="009A7EEA"/>
    <w:rsid w:val="009B3AF5"/>
    <w:rsid w:val="009B45BF"/>
    <w:rsid w:val="009F766D"/>
    <w:rsid w:val="00A27909"/>
    <w:rsid w:val="00A32D36"/>
    <w:rsid w:val="00A405BB"/>
    <w:rsid w:val="00A50F8D"/>
    <w:rsid w:val="00A57756"/>
    <w:rsid w:val="00AC7DE3"/>
    <w:rsid w:val="00AE230E"/>
    <w:rsid w:val="00AF536B"/>
    <w:rsid w:val="00B03030"/>
    <w:rsid w:val="00B14D8F"/>
    <w:rsid w:val="00B3092B"/>
    <w:rsid w:val="00B6029A"/>
    <w:rsid w:val="00B6431B"/>
    <w:rsid w:val="00B824D6"/>
    <w:rsid w:val="00B905A5"/>
    <w:rsid w:val="00B91C7E"/>
    <w:rsid w:val="00B97621"/>
    <w:rsid w:val="00BA5121"/>
    <w:rsid w:val="00BA7BC6"/>
    <w:rsid w:val="00BC73FC"/>
    <w:rsid w:val="00BD151D"/>
    <w:rsid w:val="00BD6187"/>
    <w:rsid w:val="00C107EE"/>
    <w:rsid w:val="00C24C53"/>
    <w:rsid w:val="00C3543B"/>
    <w:rsid w:val="00C42AB0"/>
    <w:rsid w:val="00C43902"/>
    <w:rsid w:val="00C43CC7"/>
    <w:rsid w:val="00C4790C"/>
    <w:rsid w:val="00C57607"/>
    <w:rsid w:val="00C63F91"/>
    <w:rsid w:val="00C6483A"/>
    <w:rsid w:val="00C916FE"/>
    <w:rsid w:val="00C97E09"/>
    <w:rsid w:val="00CC3477"/>
    <w:rsid w:val="00CD3C4E"/>
    <w:rsid w:val="00D12306"/>
    <w:rsid w:val="00D15E96"/>
    <w:rsid w:val="00D27B4A"/>
    <w:rsid w:val="00D33ACE"/>
    <w:rsid w:val="00D3444F"/>
    <w:rsid w:val="00D35A90"/>
    <w:rsid w:val="00D63C04"/>
    <w:rsid w:val="00D655D1"/>
    <w:rsid w:val="00DB629F"/>
    <w:rsid w:val="00DC65EE"/>
    <w:rsid w:val="00DC6AB5"/>
    <w:rsid w:val="00E029DB"/>
    <w:rsid w:val="00E14925"/>
    <w:rsid w:val="00E26A54"/>
    <w:rsid w:val="00E301C7"/>
    <w:rsid w:val="00E4076D"/>
    <w:rsid w:val="00E53393"/>
    <w:rsid w:val="00E810A5"/>
    <w:rsid w:val="00E95D2E"/>
    <w:rsid w:val="00E97637"/>
    <w:rsid w:val="00EC745A"/>
    <w:rsid w:val="00ED4EB2"/>
    <w:rsid w:val="00EF1947"/>
    <w:rsid w:val="00EF3E9E"/>
    <w:rsid w:val="00EF477D"/>
    <w:rsid w:val="00F10327"/>
    <w:rsid w:val="00F20667"/>
    <w:rsid w:val="00F57C7D"/>
    <w:rsid w:val="00F62465"/>
    <w:rsid w:val="00F81F69"/>
    <w:rsid w:val="00F84CC7"/>
    <w:rsid w:val="00F96FF6"/>
    <w:rsid w:val="00FC1B7C"/>
    <w:rsid w:val="00FC520D"/>
    <w:rsid w:val="00FC65D6"/>
    <w:rsid w:val="00FC7C8D"/>
    <w:rsid w:val="00FD3DF3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paragraph" w:styleId="ListParagraph">
    <w:name w:val="List Paragraph"/>
    <w:basedOn w:val="Normal"/>
    <w:uiPriority w:val="34"/>
    <w:semiHidden/>
    <w:rsid w:val="008B5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7" ma:contentTypeDescription="Create a new document." ma:contentTypeScope="" ma:versionID="a9c90ae76ee441ac28b1488d4e7e649c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7ee10281ed3854f9dfd201c150e1850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0B4F1-77A9-48EC-B23E-8A73A4BDA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3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Murray</dc:creator>
  <cp:keywords/>
  <dc:description/>
  <cp:lastModifiedBy>Kerrie Murray</cp:lastModifiedBy>
  <cp:revision>16</cp:revision>
  <dcterms:created xsi:type="dcterms:W3CDTF">2025-03-11T09:28:00Z</dcterms:created>
  <dcterms:modified xsi:type="dcterms:W3CDTF">2025-03-11T09:42:00Z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